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45" w:rsidRPr="006E2577" w:rsidRDefault="00EE6345" w:rsidP="00EE634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>No.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401CC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1901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/ OUTR</w:t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4F3B3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4F3B3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</w:t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>Date: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08.08.2022</w:t>
      </w:r>
    </w:p>
    <w:p w:rsidR="00EE6345" w:rsidRPr="00EE6345" w:rsidRDefault="00EE6345" w:rsidP="00EE6345">
      <w:pPr>
        <w:jc w:val="center"/>
        <w:rPr>
          <w:rFonts w:ascii="Times New Roman" w:hAnsi="Times New Roman" w:cs="Times New Roman"/>
          <w:b/>
          <w:u w:val="single"/>
        </w:rPr>
      </w:pPr>
      <w:r w:rsidRPr="00EE6345">
        <w:rPr>
          <w:rFonts w:ascii="Times New Roman" w:hAnsi="Times New Roman" w:cs="Times New Roman"/>
          <w:b/>
          <w:u w:val="single"/>
        </w:rPr>
        <w:t>NOTICE</w:t>
      </w:r>
      <w:r w:rsidR="005D46FA">
        <w:rPr>
          <w:rFonts w:ascii="Times New Roman" w:hAnsi="Times New Roman" w:cs="Times New Roman"/>
          <w:b/>
          <w:u w:val="single"/>
        </w:rPr>
        <w:t xml:space="preserve"> FOR PROVISIONAL ADMISSION INTO Ph.D. PROGRAMME 2021-22</w:t>
      </w:r>
    </w:p>
    <w:p w:rsidR="009B416A" w:rsidRDefault="00EE6345" w:rsidP="009B4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for information of all the candidates who have been selected for provisional admission into Ph.D. programme – 2021-22, in OUTR, Bhubaneswar under Full Time and Part-Time Category that provisional admission will be held during 16.08.2022</w:t>
      </w:r>
      <w:r w:rsidR="00F6774A">
        <w:rPr>
          <w:rFonts w:ascii="Times New Roman" w:hAnsi="Times New Roman" w:cs="Times New Roman"/>
        </w:rPr>
        <w:t xml:space="preserve"> to 25.08.2022 for the candidates indicated in Table 1 and Table 2 as per the list given below. The provisional admission of Part-Time Candidates indicated in Table 3 is Withheld temporarily on account of non-Submission of NOC from their current employer and these candidates are advised to produce the NOC to the concerned HOD at the earliest for consideration of provisional admission.</w:t>
      </w:r>
    </w:p>
    <w:p w:rsidR="009B416A" w:rsidRPr="00AB61AB" w:rsidRDefault="009B416A" w:rsidP="009B416A">
      <w:pPr>
        <w:ind w:left="360"/>
        <w:jc w:val="center"/>
        <w:rPr>
          <w:rFonts w:ascii="Times New Roman" w:hAnsi="Times New Roman" w:cs="Times New Roman"/>
        </w:rPr>
      </w:pPr>
      <w:r w:rsidRPr="00AB61AB">
        <w:rPr>
          <w:rFonts w:ascii="Times New Roman" w:hAnsi="Times New Roman" w:cs="Times New Roman"/>
        </w:rPr>
        <w:t>Table 1: Regular Full Time Candidates allowed for provisional admission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2715"/>
        <w:gridCol w:w="3776"/>
        <w:gridCol w:w="1316"/>
        <w:gridCol w:w="1066"/>
      </w:tblGrid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Sl. No.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of Candidate</w:t>
            </w:r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Department Applied for PhD Admission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Enrolment Number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Status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Chinmayee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Biswakalyani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Civil Engineering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2022710401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Pratik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Kar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Electrical Engineering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2022710801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Rachita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Ruchismita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Sarangi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Electrical Engineering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2022710802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Bandan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Kumar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Panigrahi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Electrical Engineering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2022710803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Aishwarya Samal</w:t>
            </w:r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Electrical Engineering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2022710804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Prasanta Kumar Sahoo</w:t>
            </w:r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Information Technology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2022711001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Suneendita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Behera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Information Technology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2022711002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Rudrapratap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Sahoo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Textile Engineering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2022711501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Himadri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Tanaya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Mahanta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Textile Engineering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2022711502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Gorachand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Biswal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Physics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2022711301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Umakanta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Pradhan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Chemistry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2022710301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Suvendu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Nayak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Mathematics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2022711101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Pralipta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Rout</w:t>
            </w:r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Mathematics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2022711102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Sima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Rout</w:t>
            </w:r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Mathematics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2022711103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Nabanita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Mohapatra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English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2022710901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Nibedita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Sahoo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Computer Science &amp; Engineering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2022710601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Dipak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Kumar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Sahoo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Computer Science &amp; Engineering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2022710602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  <w:tr w:rsidR="005D46FA" w:rsidRPr="009B416A" w:rsidTr="005D46FA">
        <w:trPr>
          <w:trHeight w:val="300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Bichitra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Mandal</w:t>
            </w:r>
            <w:proofErr w:type="spellEnd"/>
          </w:p>
        </w:tc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Computer Science &amp; Engineering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2022710603</w:t>
            </w:r>
          </w:p>
        </w:tc>
        <w:tc>
          <w:tcPr>
            <w:tcW w:w="1107" w:type="dxa"/>
          </w:tcPr>
          <w:p w:rsidR="005D46FA" w:rsidRPr="009B416A" w:rsidRDefault="005D46F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Allowed</w:t>
            </w:r>
          </w:p>
        </w:tc>
      </w:tr>
    </w:tbl>
    <w:p w:rsidR="009B416A" w:rsidRPr="00AB61AB" w:rsidRDefault="009B416A" w:rsidP="009B416A">
      <w:pPr>
        <w:ind w:left="360"/>
        <w:jc w:val="center"/>
        <w:rPr>
          <w:rFonts w:ascii="Times New Roman" w:hAnsi="Times New Roman" w:cs="Times New Roman"/>
        </w:rPr>
      </w:pPr>
    </w:p>
    <w:p w:rsidR="009B416A" w:rsidRPr="00AB61AB" w:rsidRDefault="00AB61AB" w:rsidP="009B416A">
      <w:pPr>
        <w:ind w:left="360"/>
        <w:jc w:val="center"/>
        <w:rPr>
          <w:rFonts w:ascii="Times New Roman" w:hAnsi="Times New Roman" w:cs="Times New Roman"/>
        </w:rPr>
      </w:pPr>
      <w:r w:rsidRPr="00AB61AB">
        <w:rPr>
          <w:rFonts w:ascii="Times New Roman" w:hAnsi="Times New Roman" w:cs="Times New Roman"/>
        </w:rPr>
        <w:t>Table 2</w:t>
      </w:r>
      <w:r w:rsidR="009B416A" w:rsidRPr="00AB61AB">
        <w:rPr>
          <w:rFonts w:ascii="Times New Roman" w:hAnsi="Times New Roman" w:cs="Times New Roman"/>
        </w:rPr>
        <w:t>: Part- Time Candidates allowed for provisional admission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16"/>
        <w:gridCol w:w="3918"/>
        <w:gridCol w:w="1449"/>
        <w:gridCol w:w="1133"/>
      </w:tblGrid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Sl. No.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Name of Candidate</w:t>
            </w:r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Department Applied for PhD Admission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Enrolment Number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Status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1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Abhijit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Nayak</w:t>
            </w:r>
            <w:proofErr w:type="spellEnd"/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Chemistry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2022720301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2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Siddharth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Mohanty</w:t>
            </w:r>
            <w:proofErr w:type="spellEnd"/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Civil Engineering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2022720401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3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 xml:space="preserve">Sanjay Kumar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Behera</w:t>
            </w:r>
            <w:proofErr w:type="spellEnd"/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Civil Engineering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2022720402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4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Sipra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Mohapatra</w:t>
            </w:r>
            <w:proofErr w:type="spellEnd"/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Civil Engineering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2022720403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5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Rakesh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Ranjan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Behera</w:t>
            </w:r>
            <w:proofErr w:type="spellEnd"/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Computer Science &amp; Application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2022720501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6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Mahesh Jena</w:t>
            </w:r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Computer Science &amp; Application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2022720502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7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Sweta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Dash</w:t>
            </w:r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Computer Science &amp; Engineering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2022720601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8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Aishwarya Dash</w:t>
            </w:r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Electronics &amp; Instrumentation Engineering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2022720701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lastRenderedPageBreak/>
              <w:t>9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Pravat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Mohanty</w:t>
            </w:r>
            <w:proofErr w:type="spellEnd"/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Electrical Engineering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2022720801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10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Debasis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Parida</w:t>
            </w:r>
            <w:proofErr w:type="spellEnd"/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Electrical Engineering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2022720802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11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Jogeswara</w:t>
            </w:r>
            <w:proofErr w:type="spellEnd"/>
            <w:r w:rsidR="007E6F8C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Sabat</w:t>
            </w:r>
            <w:proofErr w:type="spellEnd"/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Electrical Engineering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2022720803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12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Radhakrishna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Das</w:t>
            </w:r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Electrical Engineering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2022720804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13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Subhransu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Sekhar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Patra</w:t>
            </w:r>
            <w:proofErr w:type="spellEnd"/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Mechanical Engineering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2022721201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  <w:tr w:rsidR="009B416A" w:rsidRPr="00AB61AB" w:rsidTr="00BF38B3">
        <w:trPr>
          <w:trHeight w:val="30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9B416A" w:rsidRPr="009B416A" w:rsidRDefault="00293B26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14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Amulya</w:t>
            </w:r>
            <w:proofErr w:type="spellEnd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Kumar </w:t>
            </w:r>
            <w:proofErr w:type="spellStart"/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Mohanty</w:t>
            </w:r>
            <w:proofErr w:type="spellEnd"/>
          </w:p>
        </w:tc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val="en-US" w:eastAsia="en-IN"/>
              </w:rPr>
              <w:t>Textile Engineering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B416A" w:rsidRPr="009B416A" w:rsidRDefault="009B416A" w:rsidP="009B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2022721501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B416A" w:rsidRPr="009B416A" w:rsidRDefault="009B416A" w:rsidP="009B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9B416A">
              <w:rPr>
                <w:rFonts w:ascii="Times New Roman" w:eastAsia="Times New Roman" w:hAnsi="Times New Roman" w:cs="Times New Roman"/>
                <w:lang w:eastAsia="en-IN"/>
              </w:rPr>
              <w:t>Allowed</w:t>
            </w:r>
          </w:p>
        </w:tc>
      </w:tr>
    </w:tbl>
    <w:p w:rsidR="009B416A" w:rsidRPr="00AB61AB" w:rsidRDefault="009B416A" w:rsidP="009B416A">
      <w:pPr>
        <w:ind w:left="360"/>
        <w:jc w:val="center"/>
        <w:rPr>
          <w:rFonts w:ascii="Times New Roman" w:hAnsi="Times New Roman" w:cs="Times New Roman"/>
        </w:rPr>
      </w:pPr>
    </w:p>
    <w:p w:rsidR="009B416A" w:rsidRPr="00AB61AB" w:rsidRDefault="009B416A" w:rsidP="009B416A">
      <w:pPr>
        <w:ind w:left="360"/>
        <w:jc w:val="center"/>
        <w:rPr>
          <w:rFonts w:ascii="Times New Roman" w:hAnsi="Times New Roman" w:cs="Times New Roman"/>
        </w:rPr>
      </w:pPr>
      <w:r w:rsidRPr="00AB61AB">
        <w:rPr>
          <w:rFonts w:ascii="Times New Roman" w:hAnsi="Times New Roman" w:cs="Times New Roman"/>
        </w:rPr>
        <w:t xml:space="preserve">Table 3: Part- Time Candidates </w:t>
      </w:r>
      <w:r w:rsidR="00AB61AB" w:rsidRPr="00AB61AB">
        <w:rPr>
          <w:rFonts w:ascii="Times New Roman" w:hAnsi="Times New Roman" w:cs="Times New Roman"/>
        </w:rPr>
        <w:t>Withheld (W/H)</w:t>
      </w:r>
      <w:r w:rsidRPr="00AB61AB">
        <w:rPr>
          <w:rFonts w:ascii="Times New Roman" w:hAnsi="Times New Roman" w:cs="Times New Roman"/>
        </w:rPr>
        <w:t xml:space="preserve"> for provisional admission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2243"/>
        <w:gridCol w:w="4248"/>
        <w:gridCol w:w="1410"/>
        <w:gridCol w:w="1133"/>
      </w:tblGrid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Sl. No.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Name of Candidate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Department Applied for PhD Admission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Enrolment Number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Status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1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Asit Kumar Rout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Architecture &amp; Planning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2022720101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2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Swapna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Sarita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Swain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Architecture &amp; Planning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2022720102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3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Bhabani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Shankar Sa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Architecture &amp; Planning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2022720103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7E6F8C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4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Dattatray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Govindrao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Gaikwad</w:t>
            </w:r>
            <w:proofErr w:type="spellEnd"/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Chemistry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2022720302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7E6F8C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5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Manjit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Kumar </w:t>
            </w: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Nayak</w:t>
            </w:r>
            <w:proofErr w:type="spellEnd"/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Computer Science &amp; Application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2022720503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7E6F8C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6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Abhimanyu Dash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Computer Science &amp; Application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2022720504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7E6F8C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7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Karmajit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Patra</w:t>
            </w:r>
            <w:proofErr w:type="spellEnd"/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Computer Science &amp; Application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2022720505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7E6F8C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8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 xml:space="preserve">Siddhartha </w:t>
            </w: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Chhotaray</w:t>
            </w:r>
            <w:proofErr w:type="spellEnd"/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Computer Science &amp; Engineering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2022720602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7E6F8C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9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Naresh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Chandra </w:t>
            </w: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Naik</w:t>
            </w:r>
            <w:proofErr w:type="spellEnd"/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Electronics &amp; Instrumentation Engineering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2022720702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7E6F8C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Bijay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 xml:space="preserve"> Kumar </w:t>
            </w:r>
            <w:proofErr w:type="spellStart"/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Ekka</w:t>
            </w:r>
            <w:proofErr w:type="spellEnd"/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Electronics &amp; Instrumentation Engineering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2022720703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7E6F8C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11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Rashmita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Routray</w:t>
            </w:r>
            <w:proofErr w:type="spellEnd"/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Electronics &amp; Instrumentation Engineering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2022720704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7E6F8C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12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Swati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Lipsa</w:t>
            </w:r>
            <w:proofErr w:type="spellEnd"/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Information Technology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2022721001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7E6F8C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13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Jitendra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Naik</w:t>
            </w:r>
            <w:proofErr w:type="spellEnd"/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Mechanical Engineering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2022721202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7E6F8C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14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Runu</w:t>
            </w:r>
            <w:proofErr w:type="spellEnd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Das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Mechanical Engineering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2022721203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  <w:tr w:rsidR="00AB61AB" w:rsidRPr="00AB61AB" w:rsidTr="00BF38B3">
        <w:trPr>
          <w:trHeight w:val="30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B61AB" w:rsidRPr="00AB61AB" w:rsidRDefault="007E6F8C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val="en-US" w:eastAsia="en-IN"/>
              </w:rPr>
              <w:t>15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Indramani</w:t>
            </w:r>
            <w:proofErr w:type="spellEnd"/>
            <w:r w:rsidR="00BF38B3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  <w:proofErr w:type="spellStart"/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Kandi</w:t>
            </w:r>
            <w:proofErr w:type="spellEnd"/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val="en-US" w:eastAsia="en-IN"/>
              </w:rPr>
              <w:t>Textile Engineering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B61AB" w:rsidRPr="00AB61AB" w:rsidRDefault="00AB61AB" w:rsidP="00AB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2022721502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B61AB" w:rsidRPr="00AB61AB" w:rsidRDefault="00AB61AB" w:rsidP="00AB6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B61AB">
              <w:rPr>
                <w:rFonts w:ascii="Times New Roman" w:eastAsia="Times New Roman" w:hAnsi="Times New Roman" w:cs="Times New Roman"/>
                <w:lang w:eastAsia="en-IN"/>
              </w:rPr>
              <w:t>W/H</w:t>
            </w:r>
          </w:p>
        </w:tc>
      </w:tr>
    </w:tbl>
    <w:p w:rsidR="00843D52" w:rsidRDefault="00843D52" w:rsidP="00AB6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4A" w:rsidRPr="00F6774A" w:rsidRDefault="00F6774A" w:rsidP="00F6774A">
      <w:pPr>
        <w:jc w:val="both"/>
        <w:rPr>
          <w:rFonts w:ascii="Times New Roman" w:hAnsi="Times New Roman" w:cs="Times New Roman"/>
          <w:b/>
          <w:u w:val="single"/>
        </w:rPr>
      </w:pPr>
      <w:r w:rsidRPr="00F6774A">
        <w:rPr>
          <w:rFonts w:ascii="Times New Roman" w:hAnsi="Times New Roman" w:cs="Times New Roman"/>
          <w:b/>
          <w:u w:val="single"/>
        </w:rPr>
        <w:t>Steps to be followed by the candidates for provisional admission.</w:t>
      </w:r>
    </w:p>
    <w:p w:rsidR="00F6774A" w:rsidRPr="00F6774A" w:rsidRDefault="00F6774A" w:rsidP="00F677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lang w:eastAsia="en-IN"/>
        </w:rPr>
      </w:pPr>
      <w:r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Step 1: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 </w:t>
      </w:r>
    </w:p>
    <w:p w:rsidR="00F6774A" w:rsidRDefault="00F6774A" w:rsidP="00F6774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en-IN"/>
        </w:rPr>
        <w:t xml:space="preserve">a)  </w:t>
      </w:r>
      <w:r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  <w:lang w:eastAsia="en-IN"/>
        </w:rPr>
        <w:t>For Regular Ph.D. Scholars: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 Online Payment of Rs 27500/- (Admission fee including Caution money, University registration and 1st Semester registration) by using the provisional enrolment number available</w:t>
      </w:r>
      <w:r>
        <w:rPr>
          <w:rFonts w:ascii="Times New Roman" w:eastAsia="Times New Roman" w:hAnsi="Times New Roman" w:cs="Times New Roman"/>
          <w:color w:val="222222"/>
          <w:szCs w:val="24"/>
          <w:lang w:eastAsia="en-IN"/>
        </w:rPr>
        <w:t xml:space="preserve"> in the above table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. The online payment will be done in the CET website</w:t>
      </w:r>
      <w:r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 xml:space="preserve"> through the online payment link portal which will remain open during </w:t>
      </w:r>
      <w:r w:rsidR="00A32923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10</w:t>
      </w:r>
      <w:r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 xml:space="preserve">.08.2022 till </w:t>
      </w:r>
      <w:r w:rsidR="00A32923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20</w:t>
      </w:r>
      <w:r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.08.2022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. No p</w:t>
      </w:r>
      <w:r w:rsidR="00A32923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ayment will be possible after 20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.08.2022. Payment through any other mode is strictly prohibited. </w:t>
      </w:r>
      <w:r w:rsidR="00A32923" w:rsidRPr="00A32923"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  <w:t xml:space="preserve">Candidates are required to </w:t>
      </w:r>
      <w:r w:rsidR="00A32923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t</w:t>
      </w:r>
      <w:r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ake printouts of the payment receipt 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which will be required for future reference/use.</w:t>
      </w:r>
    </w:p>
    <w:p w:rsidR="00A32923" w:rsidRPr="00F6774A" w:rsidRDefault="00A32923" w:rsidP="00F6774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0"/>
          <w:lang w:eastAsia="en-IN"/>
        </w:rPr>
      </w:pPr>
    </w:p>
    <w:p w:rsidR="00A32923" w:rsidRDefault="00F6774A" w:rsidP="00A329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Cs w:val="24"/>
          <w:lang w:eastAsia="en-IN"/>
        </w:rPr>
      </w:pP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b)</w:t>
      </w:r>
      <w:r w:rsidRPr="00F6774A">
        <w:rPr>
          <w:rFonts w:ascii="Times New Roman" w:eastAsia="Times New Roman" w:hAnsi="Times New Roman" w:cs="Times New Roman"/>
          <w:color w:val="222222"/>
          <w:sz w:val="12"/>
          <w:szCs w:val="14"/>
          <w:lang w:eastAsia="en-IN"/>
        </w:rPr>
        <w:t>     </w:t>
      </w:r>
      <w:r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  <w:lang w:eastAsia="en-IN"/>
        </w:rPr>
        <w:t>For Part-Time Ph.D. Scholars:</w:t>
      </w:r>
      <w:r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 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 xml:space="preserve">Online Payment of Rs 35000/- (Admission fee including Caution money, University registration and 1st Semester registration) </w:t>
      </w:r>
      <w:r w:rsidR="00A32923"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by using the provisional enrolment number available</w:t>
      </w:r>
      <w:r w:rsidR="00A32923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 xml:space="preserve"> in the above table</w:t>
      </w:r>
      <w:r w:rsidR="00A32923"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. The online payment will be done in the CET website</w:t>
      </w:r>
      <w:r w:rsidR="00A32923"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 xml:space="preserve"> through the online payment link portal which will remain open during </w:t>
      </w:r>
      <w:r w:rsidR="00A32923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10.08.2022 till 20</w:t>
      </w:r>
      <w:r w:rsidR="00A32923"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.08.2022</w:t>
      </w:r>
      <w:r w:rsidR="00A32923"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. No p</w:t>
      </w:r>
      <w:r w:rsidR="00A32923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ayment will be possible after 20</w:t>
      </w:r>
      <w:r w:rsidR="00A32923"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.08.2022. Payment through any other mode is strictly prohibited. </w:t>
      </w:r>
      <w:r w:rsidR="00A32923" w:rsidRPr="00A32923"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  <w:t xml:space="preserve">Candidates are required to </w:t>
      </w:r>
      <w:r w:rsidR="00A32923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t</w:t>
      </w:r>
      <w:r w:rsidR="00A32923"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ake printouts of the payment receipt </w:t>
      </w:r>
      <w:r w:rsidR="00A32923"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which will be required for future reference/use.</w:t>
      </w:r>
    </w:p>
    <w:p w:rsidR="00F6774A" w:rsidRPr="00F6774A" w:rsidRDefault="00F6774A" w:rsidP="00F6774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0"/>
          <w:lang w:eastAsia="en-IN"/>
        </w:rPr>
      </w:pPr>
    </w:p>
    <w:p w:rsidR="00F6774A" w:rsidRPr="00F6774A" w:rsidRDefault="00F6774A" w:rsidP="00F677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lang w:eastAsia="en-IN"/>
        </w:rPr>
      </w:pP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 </w:t>
      </w:r>
    </w:p>
    <w:p w:rsidR="00F6774A" w:rsidRPr="00F6774A" w:rsidRDefault="00F6774A" w:rsidP="00F677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lang w:eastAsia="en-IN"/>
        </w:rPr>
      </w:pPr>
      <w:r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lastRenderedPageBreak/>
        <w:t>Step 2: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 </w:t>
      </w:r>
      <w:r w:rsidR="00A32923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Candidates are advised to d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 xml:space="preserve">ownload the forms (Form No.1: DR21-3.1.2, Form No.3: DR21-5.8(a) (for Regular Candidates), Form No.13: DR21-11.1(c1), Form No.13: DR21-11.1(c2), Form No.14: DR21-11.1(d), Form No.16: DR21-11.1(h)) </w:t>
      </w:r>
      <w:r w:rsidR="00A32923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 xml:space="preserve">along with this notice from the website 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and take a print out.</w:t>
      </w:r>
    </w:p>
    <w:p w:rsidR="00F6774A" w:rsidRPr="00F6774A" w:rsidRDefault="00F6774A" w:rsidP="00F677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lang w:eastAsia="en-IN"/>
        </w:rPr>
      </w:pP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 </w:t>
      </w:r>
    </w:p>
    <w:p w:rsidR="00F6774A" w:rsidRPr="00F6774A" w:rsidRDefault="00F6774A" w:rsidP="00F677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lang w:eastAsia="en-IN"/>
        </w:rPr>
      </w:pPr>
      <w:r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Step 3: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 </w:t>
      </w:r>
      <w:r w:rsidR="00A32923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Candidates are required to f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ill up the relevant portions of these forms and attach the required documents in consultation with HOD of respective department, Supervisor/ Co-Supervisor</w:t>
      </w:r>
    </w:p>
    <w:p w:rsidR="00F6774A" w:rsidRPr="00F6774A" w:rsidRDefault="00F6774A" w:rsidP="00F677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lang w:eastAsia="en-IN"/>
        </w:rPr>
      </w:pP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 </w:t>
      </w:r>
    </w:p>
    <w:p w:rsidR="00F6774A" w:rsidRPr="00F6774A" w:rsidRDefault="00F6774A" w:rsidP="00F677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lang w:eastAsia="en-IN"/>
        </w:rPr>
      </w:pPr>
      <w:r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Step 4: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 </w:t>
      </w:r>
      <w:r w:rsidR="00A32923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Candidates are required to s</w:t>
      </w:r>
      <w:r w:rsidRPr="00F6774A">
        <w:rPr>
          <w:rFonts w:ascii="Times New Roman" w:eastAsia="Times New Roman" w:hAnsi="Times New Roman" w:cs="Times New Roman"/>
          <w:color w:val="222222"/>
          <w:szCs w:val="24"/>
          <w:lang w:eastAsia="en-IN"/>
        </w:rPr>
        <w:t>ubmit the completely filled forms, along with a cover application to the respective HOD/Chairperson, DRC </w:t>
      </w:r>
      <w:r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 xml:space="preserve">within </w:t>
      </w:r>
      <w:r w:rsidR="00A32923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25</w:t>
      </w:r>
      <w:r w:rsidRPr="00F6774A">
        <w:rPr>
          <w:rFonts w:ascii="Times New Roman" w:eastAsia="Times New Roman" w:hAnsi="Times New Roman" w:cs="Times New Roman"/>
          <w:b/>
          <w:bCs/>
          <w:color w:val="222222"/>
          <w:szCs w:val="24"/>
          <w:lang w:eastAsia="en-IN"/>
        </w:rPr>
        <w:t>.08.2022.</w:t>
      </w:r>
    </w:p>
    <w:p w:rsidR="00F6774A" w:rsidRPr="00F6774A" w:rsidRDefault="00F6774A" w:rsidP="00F6774A">
      <w:pPr>
        <w:jc w:val="both"/>
        <w:rPr>
          <w:rFonts w:ascii="Times New Roman" w:hAnsi="Times New Roman" w:cs="Times New Roman"/>
          <w:sz w:val="20"/>
        </w:rPr>
      </w:pPr>
    </w:p>
    <w:p w:rsidR="00F6774A" w:rsidRDefault="009D7333" w:rsidP="00AB61AB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328AC">
        <w:rPr>
          <w:rFonts w:ascii="Times New Roman" w:hAnsi="Times New Roman" w:cs="Times New Roman"/>
          <w:szCs w:val="24"/>
        </w:rPr>
        <w:t xml:space="preserve">            </w:t>
      </w:r>
      <w:proofErr w:type="spellStart"/>
      <w:r w:rsidR="00F328AC">
        <w:rPr>
          <w:rFonts w:ascii="Times New Roman" w:hAnsi="Times New Roman" w:cs="Times New Roman"/>
          <w:szCs w:val="24"/>
        </w:rPr>
        <w:t>Sd</w:t>
      </w:r>
      <w:proofErr w:type="spellEnd"/>
      <w:r w:rsidR="00F328AC">
        <w:rPr>
          <w:rFonts w:ascii="Times New Roman" w:hAnsi="Times New Roman" w:cs="Times New Roman"/>
          <w:szCs w:val="24"/>
        </w:rPr>
        <w:t>/-</w:t>
      </w:r>
    </w:p>
    <w:p w:rsidR="009D7333" w:rsidRPr="00F6774A" w:rsidRDefault="009D7333" w:rsidP="00AB61AB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OFFICER ON SPECIAL DUTY</w:t>
      </w:r>
    </w:p>
    <w:sectPr w:rsidR="009D7333" w:rsidRPr="00F6774A" w:rsidSect="009F668D">
      <w:headerReference w:type="default" r:id="rId7"/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F9" w:rsidRDefault="001B13F9" w:rsidP="002C3712">
      <w:pPr>
        <w:spacing w:after="0" w:line="240" w:lineRule="auto"/>
      </w:pPr>
      <w:r>
        <w:separator/>
      </w:r>
    </w:p>
  </w:endnote>
  <w:endnote w:type="continuationSeparator" w:id="0">
    <w:p w:rsidR="001B13F9" w:rsidRDefault="001B13F9" w:rsidP="002C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F9" w:rsidRDefault="001B13F9" w:rsidP="002C3712">
      <w:pPr>
        <w:spacing w:after="0" w:line="240" w:lineRule="auto"/>
      </w:pPr>
      <w:r>
        <w:separator/>
      </w:r>
    </w:p>
  </w:footnote>
  <w:footnote w:type="continuationSeparator" w:id="0">
    <w:p w:rsidR="001B13F9" w:rsidRDefault="001B13F9" w:rsidP="002C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12" w:rsidRPr="002C3712" w:rsidRDefault="002C3712" w:rsidP="002C3712">
    <w:pPr>
      <w:spacing w:after="0"/>
      <w:jc w:val="center"/>
      <w:rPr>
        <w:rFonts w:ascii="Times New Roman" w:hAnsi="Times New Roman"/>
        <w:b/>
        <w:sz w:val="32"/>
        <w:szCs w:val="32"/>
      </w:rPr>
    </w:pPr>
    <w:r w:rsidRPr="002C3712">
      <w:rPr>
        <w:rFonts w:ascii="Times New Roman" w:hAnsi="Times New Roman"/>
        <w:b/>
        <w:sz w:val="32"/>
        <w:szCs w:val="32"/>
      </w:rPr>
      <w:t>ODISHA UNIVERSITY OF TECHNOLOGY AND RESEARCH</w:t>
    </w:r>
  </w:p>
  <w:p w:rsidR="002C3712" w:rsidRPr="0025205E" w:rsidRDefault="002C3712" w:rsidP="002C3712">
    <w:pPr>
      <w:spacing w:after="0"/>
      <w:jc w:val="center"/>
      <w:rPr>
        <w:rFonts w:ascii="Times New Roman" w:hAnsi="Times New Roman"/>
        <w:sz w:val="32"/>
        <w:szCs w:val="32"/>
      </w:rPr>
    </w:pPr>
    <w:r w:rsidRPr="0025205E">
      <w:rPr>
        <w:rFonts w:ascii="Times New Roman" w:hAnsi="Times New Roman"/>
        <w:sz w:val="32"/>
        <w:szCs w:val="32"/>
      </w:rPr>
      <w:t>(Formerly College of Engineering &amp; Technology)</w:t>
    </w:r>
  </w:p>
  <w:p w:rsidR="002C3712" w:rsidRPr="00CF1E05" w:rsidRDefault="002C3712" w:rsidP="002C3712">
    <w:pPr>
      <w:spacing w:after="0"/>
      <w:jc w:val="center"/>
      <w:rPr>
        <w:rFonts w:ascii="Times New Roman" w:hAnsi="Times New Roman"/>
        <w:szCs w:val="32"/>
      </w:rPr>
    </w:pPr>
    <w:r w:rsidRPr="00CF1E05">
      <w:rPr>
        <w:rFonts w:ascii="Times New Roman" w:hAnsi="Times New Roman"/>
        <w:szCs w:val="32"/>
      </w:rPr>
      <w:t>Techno Campus, P.O.: Mahalaxmivihar, Bhubaneswar -751029, INDIA</w:t>
    </w:r>
  </w:p>
  <w:p w:rsidR="002C3712" w:rsidRDefault="005C5643">
    <w:pPr>
      <w:pStyle w:val="Header"/>
    </w:pPr>
    <w:r w:rsidRPr="005C5643">
      <w:rPr>
        <w:noProof/>
        <w:lang w:eastAsia="en-IN"/>
      </w:rPr>
      <w:pict>
        <v:line id="Straight Connector 1" o:spid="_x0000_s4097" style="position:absolute;flip:y;z-index:251659264;visibility:visible;mso-width-relative:margin;mso-height-relative:margin" from="2.15pt,5.65pt" to="46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" strokecolor="black [3200]" strokeweight="1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2F2"/>
    <w:multiLevelType w:val="hybridMultilevel"/>
    <w:tmpl w:val="74C63A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197F"/>
    <w:multiLevelType w:val="hybridMultilevel"/>
    <w:tmpl w:val="B4F0F768"/>
    <w:lvl w:ilvl="0" w:tplc="019E84E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46A87"/>
    <w:multiLevelType w:val="hybridMultilevel"/>
    <w:tmpl w:val="F9BAD8C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E2B49"/>
    <w:multiLevelType w:val="hybridMultilevel"/>
    <w:tmpl w:val="032A9D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73BF7"/>
    <w:multiLevelType w:val="hybridMultilevel"/>
    <w:tmpl w:val="A27ABB90"/>
    <w:lvl w:ilvl="0" w:tplc="C6A2CB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827D50"/>
    <w:multiLevelType w:val="hybridMultilevel"/>
    <w:tmpl w:val="3FC4C982"/>
    <w:lvl w:ilvl="0" w:tplc="BB20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4843"/>
    <w:rsid w:val="00002D51"/>
    <w:rsid w:val="00040666"/>
    <w:rsid w:val="00070CE9"/>
    <w:rsid w:val="000748D1"/>
    <w:rsid w:val="00093944"/>
    <w:rsid w:val="00155292"/>
    <w:rsid w:val="001650FC"/>
    <w:rsid w:val="001706D2"/>
    <w:rsid w:val="00184139"/>
    <w:rsid w:val="001B13F9"/>
    <w:rsid w:val="0020455B"/>
    <w:rsid w:val="00217C39"/>
    <w:rsid w:val="00243D4C"/>
    <w:rsid w:val="00273ED6"/>
    <w:rsid w:val="002864F9"/>
    <w:rsid w:val="00293B26"/>
    <w:rsid w:val="002C3712"/>
    <w:rsid w:val="002D1B3A"/>
    <w:rsid w:val="002D3223"/>
    <w:rsid w:val="002D665B"/>
    <w:rsid w:val="002D7EAD"/>
    <w:rsid w:val="00325D6D"/>
    <w:rsid w:val="00342516"/>
    <w:rsid w:val="00353E18"/>
    <w:rsid w:val="00354FBC"/>
    <w:rsid w:val="0039731F"/>
    <w:rsid w:val="003C24B5"/>
    <w:rsid w:val="003C42BB"/>
    <w:rsid w:val="003C78C0"/>
    <w:rsid w:val="003D38B3"/>
    <w:rsid w:val="003E1BA6"/>
    <w:rsid w:val="003F5DF2"/>
    <w:rsid w:val="00401CCA"/>
    <w:rsid w:val="00402DA6"/>
    <w:rsid w:val="00435934"/>
    <w:rsid w:val="00437BA9"/>
    <w:rsid w:val="00452E6C"/>
    <w:rsid w:val="00492978"/>
    <w:rsid w:val="004D2FCA"/>
    <w:rsid w:val="004F3B37"/>
    <w:rsid w:val="00503131"/>
    <w:rsid w:val="00526C5F"/>
    <w:rsid w:val="005303AA"/>
    <w:rsid w:val="00546782"/>
    <w:rsid w:val="005627C9"/>
    <w:rsid w:val="0058585F"/>
    <w:rsid w:val="00592650"/>
    <w:rsid w:val="00597087"/>
    <w:rsid w:val="005C5643"/>
    <w:rsid w:val="005D46FA"/>
    <w:rsid w:val="005E053E"/>
    <w:rsid w:val="005E109B"/>
    <w:rsid w:val="0061595E"/>
    <w:rsid w:val="0062237D"/>
    <w:rsid w:val="00627CD2"/>
    <w:rsid w:val="00640D86"/>
    <w:rsid w:val="00651491"/>
    <w:rsid w:val="006A2B9A"/>
    <w:rsid w:val="006A617A"/>
    <w:rsid w:val="006A705E"/>
    <w:rsid w:val="006C4F0A"/>
    <w:rsid w:val="006D4943"/>
    <w:rsid w:val="00762A5B"/>
    <w:rsid w:val="00780B94"/>
    <w:rsid w:val="007C3DE9"/>
    <w:rsid w:val="007E6F8C"/>
    <w:rsid w:val="00805EE6"/>
    <w:rsid w:val="00816B4F"/>
    <w:rsid w:val="00822E9C"/>
    <w:rsid w:val="008376A2"/>
    <w:rsid w:val="00843D52"/>
    <w:rsid w:val="00845018"/>
    <w:rsid w:val="00852B2E"/>
    <w:rsid w:val="008F3AE7"/>
    <w:rsid w:val="00936B47"/>
    <w:rsid w:val="00947842"/>
    <w:rsid w:val="00993AD2"/>
    <w:rsid w:val="009B416A"/>
    <w:rsid w:val="009B7602"/>
    <w:rsid w:val="009C4205"/>
    <w:rsid w:val="009D7333"/>
    <w:rsid w:val="009F668D"/>
    <w:rsid w:val="00A15A24"/>
    <w:rsid w:val="00A32923"/>
    <w:rsid w:val="00A4158B"/>
    <w:rsid w:val="00A51940"/>
    <w:rsid w:val="00AB61AB"/>
    <w:rsid w:val="00AB72CF"/>
    <w:rsid w:val="00B0611D"/>
    <w:rsid w:val="00B35C48"/>
    <w:rsid w:val="00B47AA8"/>
    <w:rsid w:val="00B54699"/>
    <w:rsid w:val="00BA4DF5"/>
    <w:rsid w:val="00BC291B"/>
    <w:rsid w:val="00BF38B3"/>
    <w:rsid w:val="00C037CB"/>
    <w:rsid w:val="00C13FA9"/>
    <w:rsid w:val="00C17B3F"/>
    <w:rsid w:val="00C36815"/>
    <w:rsid w:val="00C413A3"/>
    <w:rsid w:val="00C8750C"/>
    <w:rsid w:val="00CA50C8"/>
    <w:rsid w:val="00CE03F1"/>
    <w:rsid w:val="00CF1E05"/>
    <w:rsid w:val="00D04B9C"/>
    <w:rsid w:val="00D13A46"/>
    <w:rsid w:val="00D54EA7"/>
    <w:rsid w:val="00D64637"/>
    <w:rsid w:val="00DA3D0A"/>
    <w:rsid w:val="00DB0E35"/>
    <w:rsid w:val="00DF74BC"/>
    <w:rsid w:val="00E71C82"/>
    <w:rsid w:val="00EB1C7E"/>
    <w:rsid w:val="00ED4A04"/>
    <w:rsid w:val="00EE6345"/>
    <w:rsid w:val="00F275BE"/>
    <w:rsid w:val="00F328AC"/>
    <w:rsid w:val="00F6774A"/>
    <w:rsid w:val="00F702D2"/>
    <w:rsid w:val="00F74843"/>
    <w:rsid w:val="00F760C9"/>
    <w:rsid w:val="00FF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12"/>
  </w:style>
  <w:style w:type="paragraph" w:styleId="Footer">
    <w:name w:val="footer"/>
    <w:basedOn w:val="Normal"/>
    <w:link w:val="FooterChar"/>
    <w:uiPriority w:val="99"/>
    <w:unhideWhenUsed/>
    <w:rsid w:val="002C3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12"/>
  </w:style>
  <w:style w:type="paragraph" w:styleId="ListParagraph">
    <w:name w:val="List Paragraph"/>
    <w:basedOn w:val="Normal"/>
    <w:uiPriority w:val="34"/>
    <w:qFormat/>
    <w:rsid w:val="008F3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Jai Jagannath</cp:lastModifiedBy>
  <cp:revision>2</cp:revision>
  <cp:lastPrinted>2022-08-08T08:18:00Z</cp:lastPrinted>
  <dcterms:created xsi:type="dcterms:W3CDTF">2022-08-08T10:44:00Z</dcterms:created>
  <dcterms:modified xsi:type="dcterms:W3CDTF">2022-08-08T10:44:00Z</dcterms:modified>
</cp:coreProperties>
</file>